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4870" w:rsidRPr="004A4870" w:rsidRDefault="004A4870">
      <w:pPr>
        <w:rPr>
          <w:rFonts w:asciiTheme="minorHAnsi" w:hAnsiTheme="minorHAnsi"/>
          <w:b/>
          <w:sz w:val="18"/>
          <w:szCs w:val="18"/>
          <w:lang w:val="en-US"/>
        </w:rPr>
      </w:pPr>
      <w:r w:rsidRPr="004A4870">
        <w:rPr>
          <w:rFonts w:asciiTheme="minorHAnsi" w:hAnsiTheme="minorHAnsi"/>
          <w:b/>
          <w:sz w:val="18"/>
          <w:szCs w:val="18"/>
          <w:lang w:val="en-US"/>
        </w:rPr>
        <w:t>MA International Relations</w:t>
      </w:r>
    </w:p>
    <w:p w:rsidR="004A4870" w:rsidRPr="004A4870" w:rsidRDefault="004A4870">
      <w:pPr>
        <w:rPr>
          <w:rFonts w:asciiTheme="minorHAnsi" w:hAnsiTheme="minorHAnsi"/>
          <w:b/>
          <w:sz w:val="18"/>
          <w:szCs w:val="18"/>
          <w:lang w:val="en-US"/>
        </w:rPr>
      </w:pPr>
      <w:r w:rsidRPr="004A4870">
        <w:rPr>
          <w:rFonts w:asciiTheme="minorHAnsi" w:hAnsiTheme="minorHAnsi"/>
          <w:b/>
          <w:sz w:val="18"/>
          <w:szCs w:val="18"/>
          <w:lang w:val="en-US"/>
        </w:rPr>
        <w:t>BRIC’s and more</w:t>
      </w:r>
      <w:bookmarkStart w:id="0" w:name="_GoBack"/>
      <w:bookmarkEnd w:id="0"/>
    </w:p>
    <w:p w:rsidR="004A4870" w:rsidRDefault="004A4870">
      <w:pPr>
        <w:rPr>
          <w:rFonts w:asciiTheme="minorHAnsi" w:hAnsiTheme="minorHAnsi"/>
          <w:sz w:val="18"/>
          <w:szCs w:val="18"/>
          <w:lang w:val="en-US"/>
        </w:rPr>
      </w:pPr>
    </w:p>
    <w:p w:rsidR="004538D5" w:rsidRPr="004A4870" w:rsidRDefault="004A4870">
      <w:pPr>
        <w:rPr>
          <w:rFonts w:asciiTheme="minorHAnsi" w:hAnsiTheme="minorHAnsi"/>
          <w:sz w:val="18"/>
          <w:szCs w:val="18"/>
          <w:lang w:val="en-US"/>
        </w:rPr>
      </w:pPr>
      <w:r w:rsidRPr="004A4870">
        <w:rPr>
          <w:rFonts w:asciiTheme="minorHAnsi" w:hAnsiTheme="minorHAnsi"/>
          <w:sz w:val="18"/>
          <w:szCs w:val="18"/>
          <w:lang w:val="en-US"/>
        </w:rPr>
        <w:t>The BRIC countries label refers to a select group of four large, developing countries (</w:t>
      </w:r>
      <w:hyperlink r:id="rId4" w:tgtFrame="_blank" w:history="1">
        <w:r w:rsidRPr="004A4870">
          <w:rPr>
            <w:rFonts w:asciiTheme="minorHAnsi" w:hAnsiTheme="minorHAnsi"/>
            <w:sz w:val="18"/>
            <w:szCs w:val="18"/>
            <w:lang w:val="en-US"/>
          </w:rPr>
          <w:t>Brazil</w:t>
        </w:r>
      </w:hyperlink>
      <w:r w:rsidRPr="004A4870">
        <w:rPr>
          <w:rFonts w:asciiTheme="minorHAnsi" w:hAnsiTheme="minorHAnsi"/>
          <w:sz w:val="18"/>
          <w:szCs w:val="18"/>
          <w:lang w:val="en-US"/>
        </w:rPr>
        <w:t xml:space="preserve">, Russia, </w:t>
      </w:r>
      <w:hyperlink r:id="rId5" w:tgtFrame="_blank" w:history="1">
        <w:r w:rsidRPr="004A4870">
          <w:rPr>
            <w:rFonts w:asciiTheme="minorHAnsi" w:hAnsiTheme="minorHAnsi"/>
            <w:sz w:val="18"/>
            <w:szCs w:val="18"/>
            <w:lang w:val="en-US"/>
          </w:rPr>
          <w:t>India</w:t>
        </w:r>
      </w:hyperlink>
      <w:r w:rsidRPr="004A4870">
        <w:rPr>
          <w:rFonts w:asciiTheme="minorHAnsi" w:hAnsiTheme="minorHAnsi"/>
          <w:sz w:val="18"/>
          <w:szCs w:val="18"/>
          <w:lang w:val="en-US"/>
        </w:rPr>
        <w:t xml:space="preserve"> and </w:t>
      </w:r>
      <w:hyperlink r:id="rId6" w:tgtFrame="_blank" w:history="1">
        <w:r w:rsidRPr="004A4870">
          <w:rPr>
            <w:rFonts w:asciiTheme="minorHAnsi" w:hAnsiTheme="minorHAnsi"/>
            <w:sz w:val="18"/>
            <w:szCs w:val="18"/>
            <w:lang w:val="en-US"/>
          </w:rPr>
          <w:t>China</w:t>
        </w:r>
      </w:hyperlink>
      <w:r w:rsidRPr="004A4870">
        <w:rPr>
          <w:rFonts w:asciiTheme="minorHAnsi" w:hAnsiTheme="minorHAnsi"/>
          <w:sz w:val="18"/>
          <w:szCs w:val="18"/>
          <w:lang w:val="en-US"/>
        </w:rPr>
        <w:t>). The four BRIC countries are distinguished from a host of other promising emerging markets by their demographic and economic potential to rank among the world’s largest and most influential economies in the 21st century (and by having a reasonable chance of realizing that potential).  Together, the four original BRIC countries comprise more than 2.8 billion people or 40 percent of the world’s population, cover more than a quarter of the world’s land area over three continents, and account for more than 25 percent of global GDP.</w:t>
      </w:r>
    </w:p>
    <w:p w:rsidR="004A4870" w:rsidRPr="004A4870" w:rsidRDefault="004A4870">
      <w:pPr>
        <w:rPr>
          <w:rFonts w:asciiTheme="minorHAnsi" w:hAnsiTheme="minorHAnsi"/>
          <w:sz w:val="18"/>
          <w:szCs w:val="18"/>
          <w:lang w:val="en-US"/>
        </w:rPr>
      </w:pPr>
    </w:p>
    <w:p w:rsidR="004A4870" w:rsidRPr="004A4870" w:rsidRDefault="004A4870">
      <w:pPr>
        <w:rPr>
          <w:rFonts w:asciiTheme="minorHAnsi" w:hAnsiTheme="minorHAnsi"/>
          <w:sz w:val="18"/>
          <w:szCs w:val="18"/>
        </w:rPr>
      </w:pPr>
      <w:r w:rsidRPr="004A4870">
        <w:rPr>
          <w:rFonts w:asciiTheme="minorHAnsi" w:hAnsiTheme="minorHAnsi"/>
          <w:noProof/>
          <w:sz w:val="18"/>
          <w:szCs w:val="18"/>
          <w:lang w:eastAsia="en-GB"/>
        </w:rPr>
        <w:drawing>
          <wp:inline distT="0" distB="0" distL="0" distR="0" wp14:anchorId="31D5706E" wp14:editId="6446FC95">
            <wp:extent cx="4762500" cy="2914650"/>
            <wp:effectExtent l="0" t="0" r="0" b="0"/>
            <wp:docPr id="1" name="Picture 1" descr="http://www.globalsherpa.org/wp-content/uploads/2011/04/BRICs-Development-Indicators-e1304046996149.gif">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lobalsherpa.org/wp-content/uploads/2011/04/BRICs-Development-Indicators-e1304046996149.gif">
                      <a:hlinkClick r:id="rId7" tgtFrame="&quot;_blank&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0" cy="2914650"/>
                    </a:xfrm>
                    <a:prstGeom prst="rect">
                      <a:avLst/>
                    </a:prstGeom>
                    <a:noFill/>
                    <a:ln>
                      <a:noFill/>
                    </a:ln>
                  </pic:spPr>
                </pic:pic>
              </a:graphicData>
            </a:graphic>
          </wp:inline>
        </w:drawing>
      </w:r>
    </w:p>
    <w:p w:rsidR="004A4870" w:rsidRPr="004A4870" w:rsidRDefault="004A4870">
      <w:pPr>
        <w:rPr>
          <w:rFonts w:asciiTheme="minorHAnsi" w:hAnsiTheme="minorHAnsi"/>
          <w:sz w:val="18"/>
          <w:szCs w:val="18"/>
        </w:rPr>
      </w:pPr>
    </w:p>
    <w:p w:rsidR="004A4870" w:rsidRPr="004A4870" w:rsidRDefault="004A4870">
      <w:pPr>
        <w:rPr>
          <w:rFonts w:asciiTheme="minorHAnsi" w:hAnsiTheme="minorHAnsi"/>
          <w:sz w:val="18"/>
          <w:szCs w:val="18"/>
        </w:rPr>
      </w:pPr>
      <w:r w:rsidRPr="004A4870">
        <w:rPr>
          <w:rFonts w:asciiTheme="minorHAnsi" w:hAnsiTheme="minorHAnsi"/>
          <w:noProof/>
          <w:sz w:val="18"/>
          <w:szCs w:val="18"/>
          <w:lang w:eastAsia="en-GB"/>
        </w:rPr>
        <w:drawing>
          <wp:inline distT="0" distB="0" distL="0" distR="0" wp14:anchorId="1254CB0E" wp14:editId="59FE9347">
            <wp:extent cx="2857500" cy="2552700"/>
            <wp:effectExtent l="0" t="0" r="0" b="0"/>
            <wp:docPr id="2" name="Picture 2" descr="http://www.globalsherpa.org/wp-content/uploads/2011/04/brics-middle-class-income-bracket-2020-goldman-sachs-5.10-300x268.png">
              <a:hlinkClick xmlns:a="http://schemas.openxmlformats.org/drawingml/2006/main" r:id="rId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globalsherpa.org/wp-content/uploads/2011/04/brics-middle-class-income-bracket-2020-goldman-sachs-5.10-300x268.png">
                      <a:hlinkClick r:id="rId9" tgtFrame="&quot;_blank&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0" cy="2552700"/>
                    </a:xfrm>
                    <a:prstGeom prst="rect">
                      <a:avLst/>
                    </a:prstGeom>
                    <a:noFill/>
                    <a:ln>
                      <a:noFill/>
                    </a:ln>
                  </pic:spPr>
                </pic:pic>
              </a:graphicData>
            </a:graphic>
          </wp:inline>
        </w:drawing>
      </w:r>
    </w:p>
    <w:p w:rsidR="004A4870" w:rsidRPr="004A4870" w:rsidRDefault="004A4870">
      <w:pPr>
        <w:rPr>
          <w:rFonts w:asciiTheme="minorHAnsi" w:hAnsiTheme="minorHAnsi"/>
          <w:sz w:val="18"/>
          <w:szCs w:val="18"/>
        </w:rPr>
      </w:pPr>
      <w:r w:rsidRPr="004A4870">
        <w:rPr>
          <w:rFonts w:asciiTheme="minorHAnsi" w:hAnsiTheme="minorHAnsi"/>
          <w:noProof/>
          <w:sz w:val="18"/>
          <w:szCs w:val="18"/>
          <w:lang w:eastAsia="en-GB"/>
        </w:rPr>
        <w:drawing>
          <wp:inline distT="0" distB="0" distL="0" distR="0" wp14:anchorId="1664F7AB" wp14:editId="3A7E0BAD">
            <wp:extent cx="2857500" cy="2343150"/>
            <wp:effectExtent l="0" t="0" r="0" b="0"/>
            <wp:docPr id="3" name="Picture 3" descr="http://www.globalsherpa.org/wp-content/uploads/2011/04/expanding-world-middle-class-goldman-sachs-5.10-300x246.pn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globalsherpa.org/wp-content/uploads/2011/04/expanding-world-middle-class-goldman-sachs-5.10-300x246.png">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0" cy="2343150"/>
                    </a:xfrm>
                    <a:prstGeom prst="rect">
                      <a:avLst/>
                    </a:prstGeom>
                    <a:noFill/>
                    <a:ln>
                      <a:noFill/>
                    </a:ln>
                  </pic:spPr>
                </pic:pic>
              </a:graphicData>
            </a:graphic>
          </wp:inline>
        </w:drawing>
      </w:r>
    </w:p>
    <w:p w:rsidR="004A4870" w:rsidRPr="004A4870" w:rsidRDefault="004A4870" w:rsidP="004A4870">
      <w:pPr>
        <w:shd w:val="clear" w:color="auto" w:fill="FFFFFF"/>
        <w:spacing w:beforeAutospacing="1" w:after="100" w:afterAutospacing="1" w:line="408" w:lineRule="atLeast"/>
        <w:rPr>
          <w:rFonts w:asciiTheme="minorHAnsi" w:eastAsia="Times New Roman" w:hAnsiTheme="minorHAnsi" w:cs="Times New Roman"/>
          <w:sz w:val="18"/>
          <w:szCs w:val="18"/>
          <w:lang w:val="en-US" w:eastAsia="en-GB"/>
        </w:rPr>
      </w:pPr>
      <w:r w:rsidRPr="004A4870">
        <w:rPr>
          <w:rFonts w:asciiTheme="minorHAnsi" w:eastAsia="Times New Roman" w:hAnsiTheme="minorHAnsi" w:cs="Times New Roman"/>
          <w:sz w:val="18"/>
          <w:szCs w:val="18"/>
          <w:lang w:val="en-US" w:eastAsia="en-GB"/>
        </w:rPr>
        <w:t>Many analysts and commentators have suggested expanding the original group of four BRIC nations to include other emerging markets. Goldman Sachs has resisted conferring BRIC status on other developing countries on the grounds that their demographics and economic characteristics do not hold the potential for them to rival the economic size or influence of the BRIC countries or today’s leading economies (e.g., U.S. and Japan).</w:t>
      </w:r>
    </w:p>
    <w:p w:rsidR="004A4870" w:rsidRPr="004A4870" w:rsidRDefault="004A4870" w:rsidP="004A4870">
      <w:pPr>
        <w:shd w:val="clear" w:color="auto" w:fill="FFFFFF"/>
        <w:spacing w:before="100" w:beforeAutospacing="1" w:after="100" w:afterAutospacing="1" w:line="408" w:lineRule="atLeast"/>
        <w:rPr>
          <w:rFonts w:asciiTheme="minorHAnsi" w:eastAsia="Times New Roman" w:hAnsiTheme="minorHAnsi" w:cs="Times New Roman"/>
          <w:sz w:val="18"/>
          <w:szCs w:val="18"/>
          <w:lang w:val="en-US" w:eastAsia="en-GB"/>
        </w:rPr>
      </w:pPr>
      <w:r w:rsidRPr="004A4870">
        <w:rPr>
          <w:rFonts w:asciiTheme="minorHAnsi" w:eastAsia="Times New Roman" w:hAnsiTheme="minorHAnsi" w:cs="Times New Roman"/>
          <w:sz w:val="18"/>
          <w:szCs w:val="18"/>
          <w:lang w:val="en-US" w:eastAsia="en-GB"/>
        </w:rPr>
        <w:t>In a nod to the interest in other emerging markets, Goldman Sachs identified another group of economically dynamic and promising developing countries creatively labeled the “Next 11” in its 2005 Economics Paper No. 134 “How Solid are the BRICs?” The Next 11 consists of a broader group of emerging markets with the potential to play significant roles in the global economy, including: Bangladesh, Egypt, Indonesia, Iran, Korea, Mexico, Nigeria, Pakistan, Philippines, Turkey and Vietnam</w:t>
      </w:r>
    </w:p>
    <w:p w:rsidR="004A4870" w:rsidRPr="004A4870" w:rsidRDefault="004A4870" w:rsidP="004A4870">
      <w:pPr>
        <w:shd w:val="clear" w:color="auto" w:fill="FFFFFF"/>
        <w:spacing w:beforeAutospacing="1" w:after="100" w:afterAutospacing="1" w:line="240" w:lineRule="atLeast"/>
        <w:outlineLvl w:val="2"/>
        <w:rPr>
          <w:rFonts w:asciiTheme="minorHAnsi" w:eastAsia="Times New Roman" w:hAnsiTheme="minorHAnsi" w:cs="Times New Roman"/>
          <w:sz w:val="18"/>
          <w:szCs w:val="18"/>
          <w:lang w:val="en-US" w:eastAsia="en-GB"/>
        </w:rPr>
      </w:pPr>
      <w:r w:rsidRPr="004A4870">
        <w:rPr>
          <w:rFonts w:asciiTheme="minorHAnsi" w:eastAsia="Times New Roman" w:hAnsiTheme="minorHAnsi" w:cs="Times New Roman"/>
          <w:sz w:val="18"/>
          <w:szCs w:val="18"/>
          <w:lang w:val="en-US" w:eastAsia="en-GB"/>
        </w:rPr>
        <w:t>Mexico and South Korea</w:t>
      </w:r>
    </w:p>
    <w:p w:rsidR="004A4870" w:rsidRPr="004A4870" w:rsidRDefault="004A4870" w:rsidP="004A4870">
      <w:pPr>
        <w:shd w:val="clear" w:color="auto" w:fill="FFFFFF"/>
        <w:spacing w:before="100" w:beforeAutospacing="1" w:after="100" w:afterAutospacing="1" w:line="408" w:lineRule="atLeast"/>
        <w:rPr>
          <w:rFonts w:asciiTheme="minorHAnsi" w:eastAsia="Times New Roman" w:hAnsiTheme="minorHAnsi" w:cs="Times New Roman"/>
          <w:sz w:val="18"/>
          <w:szCs w:val="18"/>
          <w:lang w:val="en-US" w:eastAsia="en-GB"/>
        </w:rPr>
      </w:pPr>
      <w:r w:rsidRPr="004A4870">
        <w:rPr>
          <w:rFonts w:asciiTheme="minorHAnsi" w:eastAsia="Times New Roman" w:hAnsiTheme="minorHAnsi" w:cs="Times New Roman"/>
          <w:sz w:val="18"/>
          <w:szCs w:val="18"/>
          <w:lang w:val="en-US" w:eastAsia="en-GB"/>
        </w:rPr>
        <w:t>Of the Next 11, two countries, Mexico and “perhaps” South Korea, were considered to “have the capacity to become as important globally as the BRICs.” Both OECD countries were excluded from the BRIC grouping on the basis that they were already too much farther along in their economic development than the BRICs and were not likely to attain the economic stature or global influence of the original four BRIC countries.</w:t>
      </w:r>
    </w:p>
    <w:p w:rsidR="004A4870" w:rsidRPr="004A4870" w:rsidRDefault="004A4870" w:rsidP="004A4870">
      <w:pPr>
        <w:shd w:val="clear" w:color="auto" w:fill="FFFFFF"/>
        <w:spacing w:before="100" w:beforeAutospacing="1" w:after="100" w:afterAutospacing="1" w:line="240" w:lineRule="atLeast"/>
        <w:outlineLvl w:val="2"/>
        <w:rPr>
          <w:rFonts w:asciiTheme="minorHAnsi" w:eastAsia="Times New Roman" w:hAnsiTheme="minorHAnsi" w:cs="Times New Roman"/>
          <w:b/>
          <w:sz w:val="18"/>
          <w:szCs w:val="18"/>
          <w:lang w:val="en-US" w:eastAsia="en-GB"/>
        </w:rPr>
      </w:pPr>
      <w:r w:rsidRPr="004A4870">
        <w:rPr>
          <w:rFonts w:asciiTheme="minorHAnsi" w:eastAsia="Times New Roman" w:hAnsiTheme="minorHAnsi" w:cs="Times New Roman"/>
          <w:b/>
          <w:sz w:val="18"/>
          <w:szCs w:val="18"/>
          <w:lang w:val="en-US" w:eastAsia="en-GB"/>
        </w:rPr>
        <w:t>Indonesia</w:t>
      </w:r>
    </w:p>
    <w:p w:rsidR="004A4870" w:rsidRPr="004A4870" w:rsidRDefault="004A4870" w:rsidP="004A4870">
      <w:pPr>
        <w:shd w:val="clear" w:color="auto" w:fill="FFFFFF"/>
        <w:spacing w:before="100" w:beforeAutospacing="1" w:after="100" w:afterAutospacing="1" w:line="408" w:lineRule="atLeast"/>
        <w:rPr>
          <w:rFonts w:asciiTheme="minorHAnsi" w:eastAsia="Times New Roman" w:hAnsiTheme="minorHAnsi" w:cs="Times New Roman"/>
          <w:sz w:val="18"/>
          <w:szCs w:val="18"/>
          <w:lang w:val="en-US" w:eastAsia="en-GB"/>
        </w:rPr>
      </w:pPr>
      <w:r w:rsidRPr="004A4870">
        <w:rPr>
          <w:rFonts w:asciiTheme="minorHAnsi" w:eastAsia="Times New Roman" w:hAnsiTheme="minorHAnsi" w:cs="Times New Roman"/>
          <w:sz w:val="18"/>
          <w:szCs w:val="18"/>
          <w:lang w:val="en-US" w:eastAsia="en-GB"/>
        </w:rPr>
        <w:t>Indonesia has been one of the stronger performers of the Next 11 group of developing countries. With greater than 230 million people, Indonesia’s population is more than 4 times larger than South Africa’s population and more than 60 percent bigger than Russia’s. At $540.3 billion in 2009, Indonesia’s GDP was nearly double that of South Africa, though it was still less than half the size of Russia’s economy.</w:t>
      </w:r>
    </w:p>
    <w:p w:rsidR="004A4870" w:rsidRPr="004A4870" w:rsidRDefault="004A4870" w:rsidP="004A4870">
      <w:pPr>
        <w:shd w:val="clear" w:color="auto" w:fill="FFFFFF"/>
        <w:spacing w:before="100" w:beforeAutospacing="1" w:after="100" w:afterAutospacing="1" w:line="240" w:lineRule="atLeast"/>
        <w:outlineLvl w:val="2"/>
        <w:rPr>
          <w:rFonts w:asciiTheme="minorHAnsi" w:eastAsia="Times New Roman" w:hAnsiTheme="minorHAnsi" w:cs="Times New Roman"/>
          <w:sz w:val="18"/>
          <w:szCs w:val="18"/>
          <w:lang w:val="en-US" w:eastAsia="en-GB"/>
        </w:rPr>
      </w:pPr>
    </w:p>
    <w:p w:rsidR="004A4870" w:rsidRDefault="004A4870" w:rsidP="004A4870">
      <w:pPr>
        <w:shd w:val="clear" w:color="auto" w:fill="FFFFFF"/>
        <w:spacing w:before="100" w:beforeAutospacing="1" w:after="100" w:afterAutospacing="1" w:line="240" w:lineRule="atLeast"/>
        <w:outlineLvl w:val="2"/>
        <w:rPr>
          <w:rFonts w:asciiTheme="minorHAnsi" w:eastAsia="Times New Roman" w:hAnsiTheme="minorHAnsi" w:cs="Times New Roman"/>
          <w:b/>
          <w:sz w:val="18"/>
          <w:szCs w:val="18"/>
          <w:lang w:val="en-US" w:eastAsia="en-GB"/>
        </w:rPr>
      </w:pPr>
    </w:p>
    <w:p w:rsidR="004A4870" w:rsidRDefault="004A4870" w:rsidP="004A4870">
      <w:pPr>
        <w:shd w:val="clear" w:color="auto" w:fill="FFFFFF"/>
        <w:spacing w:before="100" w:beforeAutospacing="1" w:after="100" w:afterAutospacing="1" w:line="240" w:lineRule="atLeast"/>
        <w:outlineLvl w:val="2"/>
        <w:rPr>
          <w:rFonts w:asciiTheme="minorHAnsi" w:eastAsia="Times New Roman" w:hAnsiTheme="minorHAnsi" w:cs="Times New Roman"/>
          <w:b/>
          <w:sz w:val="18"/>
          <w:szCs w:val="18"/>
          <w:lang w:val="en-US" w:eastAsia="en-GB"/>
        </w:rPr>
      </w:pPr>
    </w:p>
    <w:p w:rsidR="004A4870" w:rsidRDefault="004A4870" w:rsidP="004A4870">
      <w:pPr>
        <w:shd w:val="clear" w:color="auto" w:fill="FFFFFF"/>
        <w:spacing w:before="100" w:beforeAutospacing="1" w:after="100" w:afterAutospacing="1" w:line="240" w:lineRule="atLeast"/>
        <w:outlineLvl w:val="2"/>
        <w:rPr>
          <w:rFonts w:asciiTheme="minorHAnsi" w:eastAsia="Times New Roman" w:hAnsiTheme="minorHAnsi" w:cs="Times New Roman"/>
          <w:b/>
          <w:sz w:val="18"/>
          <w:szCs w:val="18"/>
          <w:lang w:val="en-US" w:eastAsia="en-GB"/>
        </w:rPr>
      </w:pPr>
    </w:p>
    <w:p w:rsidR="004A4870" w:rsidRPr="004A4870" w:rsidRDefault="004A4870" w:rsidP="004A4870">
      <w:pPr>
        <w:shd w:val="clear" w:color="auto" w:fill="FFFFFF"/>
        <w:spacing w:before="100" w:beforeAutospacing="1" w:after="100" w:afterAutospacing="1" w:line="240" w:lineRule="atLeast"/>
        <w:outlineLvl w:val="2"/>
        <w:rPr>
          <w:rFonts w:asciiTheme="minorHAnsi" w:eastAsia="Times New Roman" w:hAnsiTheme="minorHAnsi" w:cs="Times New Roman"/>
          <w:b/>
          <w:sz w:val="18"/>
          <w:szCs w:val="18"/>
          <w:lang w:val="en-US" w:eastAsia="en-GB"/>
        </w:rPr>
      </w:pPr>
      <w:r w:rsidRPr="004A4870">
        <w:rPr>
          <w:rFonts w:asciiTheme="minorHAnsi" w:eastAsia="Times New Roman" w:hAnsiTheme="minorHAnsi" w:cs="Times New Roman"/>
          <w:b/>
          <w:sz w:val="18"/>
          <w:szCs w:val="18"/>
          <w:lang w:val="en-US" w:eastAsia="en-GB"/>
        </w:rPr>
        <w:t>South Africa</w:t>
      </w:r>
    </w:p>
    <w:p w:rsidR="004A4870" w:rsidRPr="004A4870" w:rsidRDefault="004A4870" w:rsidP="004A4870">
      <w:pPr>
        <w:shd w:val="clear" w:color="auto" w:fill="FFFFFF"/>
        <w:spacing w:before="100" w:beforeAutospacing="1" w:after="100" w:afterAutospacing="1" w:line="408" w:lineRule="atLeast"/>
        <w:rPr>
          <w:rFonts w:asciiTheme="minorHAnsi" w:eastAsia="Times New Roman" w:hAnsiTheme="minorHAnsi" w:cs="Times New Roman"/>
          <w:sz w:val="18"/>
          <w:szCs w:val="18"/>
          <w:lang w:val="en-US" w:eastAsia="en-GB"/>
        </w:rPr>
      </w:pPr>
      <w:r w:rsidRPr="004A4870">
        <w:rPr>
          <w:rFonts w:asciiTheme="minorHAnsi" w:eastAsia="Times New Roman" w:hAnsiTheme="minorHAnsi" w:cs="Times New Roman"/>
          <w:sz w:val="18"/>
          <w:szCs w:val="18"/>
          <w:lang w:val="en-US" w:eastAsia="en-GB"/>
        </w:rPr>
        <w:t>Despite China’s invitation, Goldman Sachs’ O’Neil has long contended that South Africa’s population of 50 million people, a fraction of Russia’s 143 million and China’s 1.34 billion people, is too small for BRIC status. At roughly $285 billion in 2009, South Africa’s economy was less than one quarter that of Russia’s, the smallest of the original BRIC country economies at about $1,232 billion.</w:t>
      </w:r>
    </w:p>
    <w:p w:rsidR="004A4870" w:rsidRPr="004A4870" w:rsidRDefault="004A4870">
      <w:pPr>
        <w:rPr>
          <w:rFonts w:asciiTheme="minorHAnsi" w:hAnsiTheme="minorHAnsi"/>
          <w:sz w:val="18"/>
          <w:szCs w:val="18"/>
        </w:rPr>
      </w:pPr>
      <w:r w:rsidRPr="004A4870">
        <w:rPr>
          <w:rFonts w:asciiTheme="minorHAnsi" w:hAnsiTheme="minorHAnsi"/>
          <w:sz w:val="18"/>
          <w:szCs w:val="18"/>
        </w:rPr>
        <w:t>John 1</w:t>
      </w:r>
      <w:r w:rsidRPr="004A4870">
        <w:rPr>
          <w:rFonts w:asciiTheme="minorHAnsi" w:hAnsiTheme="minorHAnsi"/>
          <w:sz w:val="18"/>
          <w:szCs w:val="18"/>
          <w:vertAlign w:val="superscript"/>
        </w:rPr>
        <w:t>st</w:t>
      </w:r>
      <w:r w:rsidRPr="004A4870">
        <w:rPr>
          <w:rFonts w:asciiTheme="minorHAnsi" w:hAnsiTheme="minorHAnsi"/>
          <w:sz w:val="18"/>
          <w:szCs w:val="18"/>
        </w:rPr>
        <w:t xml:space="preserve"> October 2015</w:t>
      </w:r>
    </w:p>
    <w:sectPr w:rsidR="004A4870" w:rsidRPr="004A4870" w:rsidSect="001755A8">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4870"/>
    <w:rsid w:val="001755A8"/>
    <w:rsid w:val="001E5410"/>
    <w:rsid w:val="004538D5"/>
    <w:rsid w:val="004A4870"/>
    <w:rsid w:val="007F0D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A55A5C-557D-4477-ACAD-7658C8F66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rebuchet MS" w:eastAsiaTheme="minorHAnsi" w:hAnsi="Trebuchet MS"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F0D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0DF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9504956">
      <w:bodyDiv w:val="1"/>
      <w:marLeft w:val="0"/>
      <w:marRight w:val="0"/>
      <w:marTop w:val="0"/>
      <w:marBottom w:val="0"/>
      <w:divBdr>
        <w:top w:val="none" w:sz="0" w:space="0" w:color="auto"/>
        <w:left w:val="none" w:sz="0" w:space="0" w:color="auto"/>
        <w:bottom w:val="none" w:sz="0" w:space="0" w:color="auto"/>
        <w:right w:val="none" w:sz="0" w:space="0" w:color="auto"/>
      </w:divBdr>
      <w:divsChild>
        <w:div w:id="639577492">
          <w:marLeft w:val="0"/>
          <w:marRight w:val="0"/>
          <w:marTop w:val="0"/>
          <w:marBottom w:val="0"/>
          <w:divBdr>
            <w:top w:val="none" w:sz="0" w:space="0" w:color="auto"/>
            <w:left w:val="none" w:sz="0" w:space="0" w:color="auto"/>
            <w:bottom w:val="none" w:sz="0" w:space="0" w:color="auto"/>
            <w:right w:val="none" w:sz="0" w:space="0" w:color="auto"/>
          </w:divBdr>
          <w:divsChild>
            <w:div w:id="1563908980">
              <w:marLeft w:val="0"/>
              <w:marRight w:val="0"/>
              <w:marTop w:val="0"/>
              <w:marBottom w:val="0"/>
              <w:divBdr>
                <w:top w:val="none" w:sz="0" w:space="0" w:color="auto"/>
                <w:left w:val="none" w:sz="0" w:space="0" w:color="auto"/>
                <w:bottom w:val="none" w:sz="0" w:space="0" w:color="auto"/>
                <w:right w:val="none" w:sz="0" w:space="0" w:color="auto"/>
              </w:divBdr>
              <w:divsChild>
                <w:div w:id="1268543138">
                  <w:marLeft w:val="0"/>
                  <w:marRight w:val="0"/>
                  <w:marTop w:val="0"/>
                  <w:marBottom w:val="0"/>
                  <w:divBdr>
                    <w:top w:val="none" w:sz="0" w:space="0" w:color="auto"/>
                    <w:left w:val="none" w:sz="0" w:space="0" w:color="auto"/>
                    <w:bottom w:val="none" w:sz="0" w:space="0" w:color="auto"/>
                    <w:right w:val="none" w:sz="0" w:space="0" w:color="auto"/>
                  </w:divBdr>
                  <w:divsChild>
                    <w:div w:id="120660910">
                      <w:marLeft w:val="0"/>
                      <w:marRight w:val="0"/>
                      <w:marTop w:val="100"/>
                      <w:marBottom w:val="100"/>
                      <w:divBdr>
                        <w:top w:val="none" w:sz="0" w:space="0" w:color="auto"/>
                        <w:left w:val="none" w:sz="0" w:space="0" w:color="auto"/>
                        <w:bottom w:val="none" w:sz="0" w:space="0" w:color="auto"/>
                        <w:right w:val="none" w:sz="0" w:space="0" w:color="auto"/>
                      </w:divBdr>
                      <w:divsChild>
                        <w:div w:id="2028209102">
                          <w:marLeft w:val="0"/>
                          <w:marRight w:val="0"/>
                          <w:marTop w:val="0"/>
                          <w:marBottom w:val="0"/>
                          <w:divBdr>
                            <w:top w:val="none" w:sz="0" w:space="0" w:color="auto"/>
                            <w:left w:val="none" w:sz="0" w:space="0" w:color="auto"/>
                            <w:bottom w:val="none" w:sz="0" w:space="0" w:color="auto"/>
                            <w:right w:val="none" w:sz="0" w:space="0" w:color="auto"/>
                          </w:divBdr>
                          <w:divsChild>
                            <w:div w:id="1230965167">
                              <w:marLeft w:val="0"/>
                              <w:marRight w:val="0"/>
                              <w:marTop w:val="0"/>
                              <w:marBottom w:val="0"/>
                              <w:divBdr>
                                <w:top w:val="none" w:sz="0" w:space="0" w:color="auto"/>
                                <w:left w:val="none" w:sz="0" w:space="0" w:color="auto"/>
                                <w:bottom w:val="none" w:sz="0" w:space="0" w:color="auto"/>
                                <w:right w:val="none" w:sz="0" w:space="0" w:color="auto"/>
                              </w:divBdr>
                              <w:divsChild>
                                <w:div w:id="163232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3758671">
      <w:bodyDiv w:val="1"/>
      <w:marLeft w:val="0"/>
      <w:marRight w:val="0"/>
      <w:marTop w:val="0"/>
      <w:marBottom w:val="0"/>
      <w:divBdr>
        <w:top w:val="none" w:sz="0" w:space="0" w:color="auto"/>
        <w:left w:val="none" w:sz="0" w:space="0" w:color="auto"/>
        <w:bottom w:val="none" w:sz="0" w:space="0" w:color="auto"/>
        <w:right w:val="none" w:sz="0" w:space="0" w:color="auto"/>
      </w:divBdr>
      <w:divsChild>
        <w:div w:id="1874997774">
          <w:marLeft w:val="0"/>
          <w:marRight w:val="0"/>
          <w:marTop w:val="0"/>
          <w:marBottom w:val="0"/>
          <w:divBdr>
            <w:top w:val="none" w:sz="0" w:space="0" w:color="auto"/>
            <w:left w:val="none" w:sz="0" w:space="0" w:color="auto"/>
            <w:bottom w:val="none" w:sz="0" w:space="0" w:color="auto"/>
            <w:right w:val="none" w:sz="0" w:space="0" w:color="auto"/>
          </w:divBdr>
          <w:divsChild>
            <w:div w:id="452553168">
              <w:marLeft w:val="0"/>
              <w:marRight w:val="0"/>
              <w:marTop w:val="0"/>
              <w:marBottom w:val="0"/>
              <w:divBdr>
                <w:top w:val="none" w:sz="0" w:space="0" w:color="auto"/>
                <w:left w:val="none" w:sz="0" w:space="0" w:color="auto"/>
                <w:bottom w:val="none" w:sz="0" w:space="0" w:color="auto"/>
                <w:right w:val="none" w:sz="0" w:space="0" w:color="auto"/>
              </w:divBdr>
              <w:divsChild>
                <w:div w:id="507141120">
                  <w:marLeft w:val="0"/>
                  <w:marRight w:val="0"/>
                  <w:marTop w:val="0"/>
                  <w:marBottom w:val="0"/>
                  <w:divBdr>
                    <w:top w:val="none" w:sz="0" w:space="0" w:color="auto"/>
                    <w:left w:val="none" w:sz="0" w:space="0" w:color="auto"/>
                    <w:bottom w:val="none" w:sz="0" w:space="0" w:color="auto"/>
                    <w:right w:val="none" w:sz="0" w:space="0" w:color="auto"/>
                  </w:divBdr>
                  <w:divsChild>
                    <w:div w:id="97679179">
                      <w:marLeft w:val="0"/>
                      <w:marRight w:val="0"/>
                      <w:marTop w:val="100"/>
                      <w:marBottom w:val="100"/>
                      <w:divBdr>
                        <w:top w:val="none" w:sz="0" w:space="0" w:color="auto"/>
                        <w:left w:val="none" w:sz="0" w:space="0" w:color="auto"/>
                        <w:bottom w:val="none" w:sz="0" w:space="0" w:color="auto"/>
                        <w:right w:val="none" w:sz="0" w:space="0" w:color="auto"/>
                      </w:divBdr>
                      <w:divsChild>
                        <w:div w:id="1679313682">
                          <w:marLeft w:val="0"/>
                          <w:marRight w:val="0"/>
                          <w:marTop w:val="0"/>
                          <w:marBottom w:val="0"/>
                          <w:divBdr>
                            <w:top w:val="none" w:sz="0" w:space="0" w:color="auto"/>
                            <w:left w:val="none" w:sz="0" w:space="0" w:color="auto"/>
                            <w:bottom w:val="none" w:sz="0" w:space="0" w:color="auto"/>
                            <w:right w:val="none" w:sz="0" w:space="0" w:color="auto"/>
                          </w:divBdr>
                          <w:divsChild>
                            <w:div w:id="839201304">
                              <w:marLeft w:val="0"/>
                              <w:marRight w:val="0"/>
                              <w:marTop w:val="0"/>
                              <w:marBottom w:val="0"/>
                              <w:divBdr>
                                <w:top w:val="none" w:sz="0" w:space="0" w:color="auto"/>
                                <w:left w:val="none" w:sz="0" w:space="0" w:color="auto"/>
                                <w:bottom w:val="none" w:sz="0" w:space="0" w:color="auto"/>
                                <w:right w:val="none" w:sz="0" w:space="0" w:color="auto"/>
                              </w:divBdr>
                              <w:divsChild>
                                <w:div w:id="198400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globalsherpa.org/wp-content/uploads/2011/04/BRICs-Development-Indicators-e1304046996149.gif" TargetMode="External"/><Relationship Id="rId12"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globalsherpa.org/china" TargetMode="External"/><Relationship Id="rId11" Type="http://schemas.openxmlformats.org/officeDocument/2006/relationships/hyperlink" Target="http://www.globalsherpa.org/wp-content/uploads/2011/04/expanding-world-middle-class-goldman-sachs-5.10.png" TargetMode="External"/><Relationship Id="rId5" Type="http://schemas.openxmlformats.org/officeDocument/2006/relationships/hyperlink" Target="http://globalsherpa.org/india" TargetMode="External"/><Relationship Id="rId10" Type="http://schemas.openxmlformats.org/officeDocument/2006/relationships/image" Target="media/image2.png"/><Relationship Id="rId4" Type="http://schemas.openxmlformats.org/officeDocument/2006/relationships/hyperlink" Target="http://globalsherpa.org/brazil-brasil" TargetMode="External"/><Relationship Id="rId9" Type="http://schemas.openxmlformats.org/officeDocument/2006/relationships/hyperlink" Target="http://www.globalsherpa.org/wp-content/uploads/2011/04/brics-middle-class-income-bracket-2020-goldman-sachs-5.10.pn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463</Words>
  <Characters>2640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Bishops Stortford College</Company>
  <LinksUpToDate>false</LinksUpToDate>
  <CharactersWithSpaces>3097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Birchall</dc:creator>
  <cp:keywords/>
  <dc:description/>
  <cp:lastModifiedBy>John Birchall</cp:lastModifiedBy>
  <cp:revision>2</cp:revision>
  <cp:lastPrinted>2015-09-30T08:19:00Z</cp:lastPrinted>
  <dcterms:created xsi:type="dcterms:W3CDTF">2015-09-30T08:22:00Z</dcterms:created>
  <dcterms:modified xsi:type="dcterms:W3CDTF">2015-09-30T08:22:00Z</dcterms:modified>
</cp:coreProperties>
</file>